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1" w:rsidRDefault="008D7FA1" w:rsidP="008D7FA1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t xml:space="preserve">   BỘ GIÁO DỤC VÀ ĐÀO TẠO</w:t>
      </w:r>
      <w:r>
        <w:rPr>
          <w:b/>
        </w:rPr>
        <w:tab/>
        <w:t>CỘNG HÒA XÃ HỘI CHỦ NGHĨA VIỆT NAM</w:t>
      </w:r>
    </w:p>
    <w:p w:rsidR="008D7FA1" w:rsidRDefault="008D7FA1" w:rsidP="008D7FA1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</w:rPr>
        <w:t>TRƯỜNG ĐẠI HỌC QUY NHƠN                         Độc lập – Tự do – Hạnh phúc</w:t>
      </w:r>
    </w:p>
    <w:p w:rsidR="008D7FA1" w:rsidRDefault="008D7FA1" w:rsidP="008D7FA1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pt;margin-top:2.4pt;width:129.75pt;height:0;z-index:251658240" o:connectortype="straight"/>
        </w:pict>
      </w:r>
      <w:r>
        <w:pict>
          <v:shape id="_x0000_s1028" type="#_x0000_t32" style="position:absolute;left:0;text-align:left;margin-left:255.75pt;margin-top:.9pt;width:149.25pt;height:0;z-index:251658240" o:connectortype="straight"/>
        </w:pict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</w:r>
    </w:p>
    <w:p w:rsidR="008D7FA1" w:rsidRDefault="008D7FA1" w:rsidP="008D7FA1">
      <w:pPr>
        <w:pStyle w:val="Normal1"/>
        <w:widowControl w:val="0"/>
        <w:spacing w:line="307" w:lineRule="auto"/>
        <w:jc w:val="both"/>
      </w:pPr>
    </w:p>
    <w:p w:rsidR="008D7FA1" w:rsidRDefault="008D7FA1" w:rsidP="008D7FA1">
      <w:pPr>
        <w:tabs>
          <w:tab w:val="left" w:pos="567"/>
          <w:tab w:val="left" w:pos="1077"/>
        </w:tabs>
        <w:spacing w:before="60" w:line="24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ĐỀ CƯƠNG ÔN THI TUYỂN SINH ĐÀO TẠO TRÌNH ĐỘ THẠC SĨ </w:t>
      </w:r>
    </w:p>
    <w:p w:rsidR="008D7FA1" w:rsidRDefault="008D7FA1" w:rsidP="008D7FA1">
      <w:pPr>
        <w:tabs>
          <w:tab w:val="left" w:pos="567"/>
          <w:tab w:val="left" w:pos="1077"/>
        </w:tabs>
        <w:spacing w:before="60" w:line="24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CHUYÊN NGÀNH: </w:t>
      </w:r>
      <w:r>
        <w:rPr>
          <w:rFonts w:cs="Times New Roman"/>
          <w:b/>
          <w:sz w:val="28"/>
          <w:szCs w:val="28"/>
        </w:rPr>
        <w:t>QUẢN LÝ KINH TẾ</w:t>
      </w:r>
    </w:p>
    <w:p w:rsidR="008D7FA1" w:rsidRDefault="008D7FA1" w:rsidP="008D7FA1">
      <w:pPr>
        <w:tabs>
          <w:tab w:val="left" w:pos="567"/>
          <w:tab w:val="left" w:pos="1077"/>
        </w:tabs>
        <w:spacing w:before="60" w:line="24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MÔN THI: </w:t>
      </w:r>
      <w:r>
        <w:rPr>
          <w:rFonts w:cs="Times New Roman"/>
          <w:b/>
          <w:sz w:val="28"/>
          <w:szCs w:val="28"/>
        </w:rPr>
        <w:t>QUẢN LÝ NHÀ NƯỚC VỀ KINH TẾ</w:t>
      </w:r>
    </w:p>
    <w:p w:rsidR="008D7FA1" w:rsidRPr="000C5E0A" w:rsidRDefault="008D7FA1" w:rsidP="008D7FA1">
      <w:pPr>
        <w:spacing w:after="4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</w:rPr>
        <w:pict>
          <v:shape id="_x0000_s1030" type="#_x0000_t32" style="position:absolute;left:0;text-align:left;margin-left:122.7pt;margin-top:1.7pt;width:207pt;height:0;z-index:251658240" o:connectortype="straight"/>
        </w:pict>
      </w:r>
    </w:p>
    <w:p w:rsidR="000F15D0" w:rsidRPr="000C5E0A" w:rsidRDefault="000F15D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SỰ CẦN THIẾT KHÁCH QUAN QUẢN LÝ NHÀ NƯỚC VỀ KINH TẾ</w:t>
      </w:r>
    </w:p>
    <w:p w:rsidR="000F15D0" w:rsidRPr="00A60BC8" w:rsidRDefault="000F15D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 w:rsidRPr="00A60BC8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Nhà nước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Sự ra đời của Nhà nước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Vai trò của Nhà nước đối với xã hội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Nhà nước với vấn đề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Vai trò của Nhà nước trong nền kinh tế thị trường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Quản lý nhà nước về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Khái niệm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Nội dung quản lý nhà nước về kinh tế ở Việt Nam hiện nay</w:t>
      </w:r>
    </w:p>
    <w:p w:rsidR="000F15D0" w:rsidRDefault="00C91DE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QUY LUẬT </w:t>
      </w:r>
      <w:r w:rsidR="000F15D0">
        <w:rPr>
          <w:b/>
          <w:sz w:val="28"/>
          <w:szCs w:val="28"/>
        </w:rPr>
        <w:t>VÀ NGUYÊN TẮC QUẢN LÝ NHÀ NƯỚC VỀ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Quy luật và quy luật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Khái niệm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Tính khách quan của quy luật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Đặc điểm của các quy luật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Các nguyên tắc quản lý nhà nước về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F15D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Thống nhất la</w:t>
      </w:r>
      <w:r w:rsidR="00C91DE0">
        <w:rPr>
          <w:sz w:val="28"/>
          <w:szCs w:val="28"/>
        </w:rPr>
        <w:t>̃nh đạo chính trị và kinh tế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Tập trung dân chủ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Kết hợp hài hòa lợi ích xã hội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5D0">
        <w:rPr>
          <w:sz w:val="28"/>
          <w:szCs w:val="28"/>
        </w:rPr>
        <w:t xml:space="preserve">- Nguyên tắc kết hợp quản lý </w:t>
      </w:r>
      <w:proofErr w:type="gramStart"/>
      <w:r w:rsidRPr="000F15D0">
        <w:rPr>
          <w:sz w:val="28"/>
          <w:szCs w:val="28"/>
        </w:rPr>
        <w:t>theo</w:t>
      </w:r>
      <w:proofErr w:type="gramEnd"/>
      <w:r w:rsidRPr="000F15D0">
        <w:rPr>
          <w:sz w:val="28"/>
          <w:szCs w:val="28"/>
        </w:rPr>
        <w:t xml:space="preserve"> ngành với quản lý theo địa phương và vùng lãnh thổ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5D0">
        <w:rPr>
          <w:sz w:val="28"/>
          <w:szCs w:val="28"/>
        </w:rPr>
        <w:t>- Nguyên tắc phân định và kết hợp tốt chức năng quản lý nhà nước về kinh tế với chức năng quản lý kinh doanh của doanh nghiệp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5D0">
        <w:rPr>
          <w:sz w:val="28"/>
          <w:szCs w:val="28"/>
        </w:rPr>
        <w:t>- Tiết kiệm và hiệu quả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F15D0">
        <w:rPr>
          <w:sz w:val="28"/>
          <w:szCs w:val="28"/>
        </w:rPr>
        <w:t>- Mở rộng hợp tác kinh tế đối ngoại với yêu cầu các bên cùng có lợi, không xâm phạm độc lập, chủ quyền và lãnh thổ của nhau</w:t>
      </w:r>
    </w:p>
    <w:p w:rsidR="00053A5A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5D0">
        <w:rPr>
          <w:sz w:val="28"/>
          <w:szCs w:val="28"/>
        </w:rPr>
        <w:t>- Nguyên tắc gắn phát triển kinh tế với phát triển văn hóa – xã hội, đảm bảo định hướng xã hội chủ nghĩa của sự phát triển</w:t>
      </w:r>
    </w:p>
    <w:p w:rsidR="000F15D0" w:rsidRDefault="000F15D0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5D0">
        <w:rPr>
          <w:sz w:val="28"/>
          <w:szCs w:val="28"/>
        </w:rPr>
        <w:t>- Nguyên tắc pháp chế xã hội chủ nghĩa</w:t>
      </w:r>
    </w:p>
    <w:p w:rsidR="00B076FF" w:rsidRPr="00C91DE0" w:rsidRDefault="00C91DE0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 w:rsidRPr="00C91DE0">
        <w:rPr>
          <w:b/>
          <w:sz w:val="28"/>
          <w:szCs w:val="28"/>
        </w:rPr>
        <w:t xml:space="preserve">3. CÔNG CỤ VÀ PHƯƠNG PHÁP </w:t>
      </w:r>
      <w:r w:rsidR="00B076FF" w:rsidRPr="00C91DE0">
        <w:rPr>
          <w:b/>
          <w:sz w:val="28"/>
          <w:szCs w:val="28"/>
        </w:rPr>
        <w:t>QUẢN LÝ CỦA NHÀ NƯỚC VỀ KINH TẾ</w:t>
      </w:r>
    </w:p>
    <w:p w:rsidR="00B076FF" w:rsidRDefault="00B076FF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Công cụ quản lý của Nhà nước về kinh tế</w:t>
      </w:r>
    </w:p>
    <w:p w:rsidR="00B076FF" w:rsidRDefault="00B076FF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76FF">
        <w:rPr>
          <w:sz w:val="28"/>
          <w:szCs w:val="28"/>
        </w:rPr>
        <w:t xml:space="preserve">- </w:t>
      </w:r>
      <w:r>
        <w:rPr>
          <w:sz w:val="28"/>
          <w:szCs w:val="28"/>
        </w:rPr>
        <w:t>Khái n</w:t>
      </w:r>
      <w:r w:rsidR="00C91DE0">
        <w:rPr>
          <w:sz w:val="28"/>
          <w:szCs w:val="28"/>
        </w:rPr>
        <w:t>i</w:t>
      </w:r>
      <w:r>
        <w:rPr>
          <w:sz w:val="28"/>
          <w:szCs w:val="28"/>
        </w:rPr>
        <w:t>ệm</w:t>
      </w:r>
    </w:p>
    <w:p w:rsidR="00836E39" w:rsidRDefault="00836E39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Các công cụ quản lý Nhà nước về kinh tế: pháp luật, kế hoạch, chính sách, tài sản quốc gia</w:t>
      </w:r>
    </w:p>
    <w:p w:rsidR="00836E39" w:rsidRDefault="00836E39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Phương pháp quản lý nhà nước về kinh tế</w:t>
      </w:r>
    </w:p>
    <w:p w:rsidR="00836E39" w:rsidRDefault="00836E39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76FF">
        <w:rPr>
          <w:sz w:val="28"/>
          <w:szCs w:val="28"/>
        </w:rPr>
        <w:t xml:space="preserve">- </w:t>
      </w:r>
      <w:r>
        <w:rPr>
          <w:sz w:val="28"/>
          <w:szCs w:val="28"/>
        </w:rPr>
        <w:t>Khái n</w:t>
      </w:r>
      <w:r w:rsidR="00C91DE0">
        <w:rPr>
          <w:sz w:val="28"/>
          <w:szCs w:val="28"/>
        </w:rPr>
        <w:t>i</w:t>
      </w:r>
      <w:r>
        <w:rPr>
          <w:sz w:val="28"/>
          <w:szCs w:val="28"/>
        </w:rPr>
        <w:t>ệm</w:t>
      </w:r>
    </w:p>
    <w:p w:rsidR="00836E39" w:rsidRDefault="00836E39" w:rsidP="000F15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E39">
        <w:rPr>
          <w:sz w:val="28"/>
          <w:szCs w:val="28"/>
        </w:rPr>
        <w:t xml:space="preserve">- Các </w:t>
      </w:r>
      <w:r>
        <w:rPr>
          <w:sz w:val="28"/>
          <w:szCs w:val="28"/>
        </w:rPr>
        <w:t>phương pháp</w:t>
      </w:r>
      <w:r w:rsidRPr="00836E39">
        <w:rPr>
          <w:sz w:val="28"/>
          <w:szCs w:val="28"/>
        </w:rPr>
        <w:t xml:space="preserve"> quản lý Nhà nước về kinh tế:</w:t>
      </w:r>
      <w:r>
        <w:rPr>
          <w:sz w:val="28"/>
          <w:szCs w:val="28"/>
        </w:rPr>
        <w:t xml:space="preserve"> phương pháp hành chính, phương pháp kinh tế, phương pháp giáo dục</w:t>
      </w:r>
    </w:p>
    <w:p w:rsidR="00836E39" w:rsidRDefault="00836E39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CÁC CHỨC NĂNG QUẢN LÝ NHÀ NƯỚC VỀ KINH TẾ</w:t>
      </w:r>
    </w:p>
    <w:p w:rsidR="00836E39" w:rsidRDefault="00836E39" w:rsidP="000F15D0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Các chức năng quản lý nhà nước về kinh tế </w:t>
      </w:r>
      <w:proofErr w:type="gramStart"/>
      <w:r>
        <w:rPr>
          <w:b/>
          <w:sz w:val="28"/>
          <w:szCs w:val="28"/>
        </w:rPr>
        <w:t>theo</w:t>
      </w:r>
      <w:proofErr w:type="gramEnd"/>
      <w:r>
        <w:rPr>
          <w:b/>
          <w:sz w:val="28"/>
          <w:szCs w:val="28"/>
        </w:rPr>
        <w:t xml:space="preserve"> tính chất tác động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b/>
          <w:sz w:val="28"/>
          <w:szCs w:val="28"/>
        </w:rPr>
        <w:tab/>
      </w:r>
      <w:r w:rsidRPr="00836E39">
        <w:rPr>
          <w:rFonts w:eastAsia="Calibri" w:cs="Times New Roman"/>
          <w:sz w:val="28"/>
          <w:lang w:val="vi-VN"/>
        </w:rPr>
        <w:t>- Thiết lập khuôn khổ pháp luật về kinh tế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836E39">
        <w:rPr>
          <w:rFonts w:eastAsia="Calibri" w:cs="Times New Roman"/>
          <w:sz w:val="28"/>
        </w:rPr>
        <w:t>- Tạo lập môi trường thuận lợi cho cho hoạt động sản xuất kinh doanh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836E39">
        <w:rPr>
          <w:rFonts w:eastAsia="Calibri" w:cs="Times New Roman"/>
          <w:sz w:val="28"/>
        </w:rPr>
        <w:t>-  Bảo đảm cơ sở hạ tầng cho phát triển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836E39">
        <w:rPr>
          <w:rFonts w:eastAsia="Calibri" w:cs="Times New Roman"/>
          <w:sz w:val="28"/>
        </w:rPr>
        <w:t>- Chức năng hỗ trợ phát triển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836E39">
        <w:rPr>
          <w:rFonts w:eastAsia="Calibri" w:cs="Times New Roman"/>
          <w:sz w:val="28"/>
        </w:rPr>
        <w:t>- Cải cách khu vực công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 xml:space="preserve">4.2. </w:t>
      </w:r>
      <w:r w:rsidRPr="00836E39">
        <w:rPr>
          <w:rFonts w:eastAsia="Calibri" w:cs="Times New Roman"/>
          <w:b/>
          <w:sz w:val="28"/>
        </w:rPr>
        <w:t xml:space="preserve">Các chức năng quản lý nhà nước về kinh tế </w:t>
      </w:r>
      <w:proofErr w:type="gramStart"/>
      <w:r w:rsidRPr="00836E39">
        <w:rPr>
          <w:rFonts w:eastAsia="Calibri" w:cs="Times New Roman"/>
          <w:b/>
          <w:sz w:val="28"/>
        </w:rPr>
        <w:t>theo</w:t>
      </w:r>
      <w:proofErr w:type="gramEnd"/>
      <w:r w:rsidRPr="00836E39">
        <w:rPr>
          <w:rFonts w:eastAsia="Calibri" w:cs="Times New Roman"/>
          <w:b/>
          <w:sz w:val="28"/>
        </w:rPr>
        <w:t xml:space="preserve"> </w:t>
      </w:r>
      <w:r>
        <w:rPr>
          <w:rFonts w:eastAsia="Calibri" w:cs="Times New Roman"/>
          <w:b/>
          <w:sz w:val="28"/>
        </w:rPr>
        <w:t>giai đoạn</w:t>
      </w:r>
      <w:r w:rsidRPr="00836E39">
        <w:rPr>
          <w:rFonts w:eastAsia="Calibri" w:cs="Times New Roman"/>
          <w:b/>
          <w:sz w:val="28"/>
        </w:rPr>
        <w:t xml:space="preserve"> tác động</w:t>
      </w:r>
    </w:p>
    <w:p w:rsidR="00836E39" w:rsidRPr="003C1FFF" w:rsidRDefault="003C1FFF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b/>
          <w:sz w:val="28"/>
        </w:rPr>
        <w:tab/>
      </w:r>
      <w:r w:rsidRPr="003C1FFF">
        <w:rPr>
          <w:rFonts w:eastAsia="Calibri" w:cs="Times New Roman"/>
          <w:sz w:val="28"/>
        </w:rPr>
        <w:t>- Chức năng hoạch định phát triển kinh tế</w:t>
      </w:r>
    </w:p>
    <w:p w:rsidR="00836E39" w:rsidRDefault="00836E39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="003C1FFF" w:rsidRPr="003C1FFF">
        <w:rPr>
          <w:rFonts w:eastAsia="Calibri" w:cs="Times New Roman"/>
          <w:sz w:val="28"/>
        </w:rPr>
        <w:t>- Chức năng tổ chức điều hành nền kinh tế</w:t>
      </w:r>
    </w:p>
    <w:p w:rsidR="003C1FFF" w:rsidRDefault="003C1FFF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3C1FFF">
        <w:rPr>
          <w:rFonts w:eastAsia="Calibri" w:cs="Times New Roman"/>
          <w:sz w:val="28"/>
        </w:rPr>
        <w:t>- Chức năng kiểm soát sự phát triển kinh tế</w:t>
      </w:r>
    </w:p>
    <w:p w:rsidR="003C1FFF" w:rsidRDefault="003C1FFF" w:rsidP="00836E39">
      <w:pPr>
        <w:spacing w:line="360" w:lineRule="auto"/>
        <w:jc w:val="both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5. CÁN BỘ QUẢN LÝ NHÀ NƯỚC VỀ KINH TẾ</w:t>
      </w:r>
    </w:p>
    <w:p w:rsidR="003C1FFF" w:rsidRDefault="003C1FFF" w:rsidP="00836E39">
      <w:pPr>
        <w:spacing w:line="360" w:lineRule="auto"/>
        <w:jc w:val="both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5.1. Khái niệm, vai trò của cán bộ quản lý kinh tế</w:t>
      </w:r>
    </w:p>
    <w:p w:rsidR="003C1FFF" w:rsidRDefault="003C1FFF" w:rsidP="00836E39">
      <w:pPr>
        <w:spacing w:line="360" w:lineRule="auto"/>
        <w:jc w:val="both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5.2. Xây dựng đội ngũ cán bộ quản lý kinh tế</w:t>
      </w:r>
    </w:p>
    <w:p w:rsidR="003C1FFF" w:rsidRDefault="003C1FFF" w:rsidP="00836E39">
      <w:pPr>
        <w:spacing w:line="360" w:lineRule="auto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b/>
          <w:sz w:val="28"/>
        </w:rPr>
        <w:tab/>
      </w:r>
      <w:r w:rsidRPr="003C1FFF">
        <w:rPr>
          <w:rFonts w:eastAsia="Calibri" w:cs="Times New Roman"/>
          <w:sz w:val="28"/>
        </w:rPr>
        <w:t xml:space="preserve">- Kế hoạch hóa đội </w:t>
      </w:r>
      <w:proofErr w:type="gramStart"/>
      <w:r w:rsidRPr="003C1FFF">
        <w:rPr>
          <w:rFonts w:eastAsia="Calibri" w:cs="Times New Roman"/>
          <w:sz w:val="28"/>
        </w:rPr>
        <w:t>ngũ</w:t>
      </w:r>
      <w:proofErr w:type="gramEnd"/>
      <w:r w:rsidRPr="003C1FFF">
        <w:rPr>
          <w:rFonts w:eastAsia="Calibri" w:cs="Times New Roman"/>
          <w:sz w:val="28"/>
        </w:rPr>
        <w:t xml:space="preserve"> cán</w:t>
      </w:r>
    </w:p>
    <w:p w:rsidR="003C1FFF" w:rsidRDefault="003C1FFF" w:rsidP="003C1FFF">
      <w:pPr>
        <w:spacing w:line="360" w:lineRule="auto"/>
        <w:ind w:firstLine="720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 xml:space="preserve">- </w:t>
      </w:r>
      <w:r w:rsidRPr="003C1FFF">
        <w:rPr>
          <w:rFonts w:eastAsia="Calibri" w:cs="Times New Roman"/>
          <w:sz w:val="28"/>
        </w:rPr>
        <w:t xml:space="preserve">Đào tạo và bồi dưỡng cán bộ quản lý kinh tế </w:t>
      </w:r>
    </w:p>
    <w:p w:rsidR="003C1FFF" w:rsidRDefault="003C1FFF" w:rsidP="003C1FFF">
      <w:pPr>
        <w:spacing w:line="360" w:lineRule="auto"/>
        <w:ind w:firstLine="720"/>
        <w:jc w:val="both"/>
        <w:rPr>
          <w:rFonts w:eastAsia="Calibri" w:cs="Times New Roman"/>
          <w:sz w:val="28"/>
        </w:rPr>
      </w:pPr>
      <w:r w:rsidRPr="003C1FFF">
        <w:rPr>
          <w:rFonts w:eastAsia="Calibri" w:cs="Times New Roman"/>
          <w:sz w:val="28"/>
        </w:rPr>
        <w:t>- Tuyển dụng, lựa chọn và bổ nhiệm cán bộ quản lý</w:t>
      </w:r>
    </w:p>
    <w:p w:rsidR="003C1FFF" w:rsidRDefault="003C1FFF" w:rsidP="003C1FFF">
      <w:pPr>
        <w:spacing w:line="360" w:lineRule="auto"/>
        <w:ind w:firstLine="720"/>
        <w:jc w:val="both"/>
        <w:rPr>
          <w:rFonts w:eastAsia="Calibri" w:cs="Times New Roman"/>
          <w:sz w:val="28"/>
        </w:rPr>
      </w:pPr>
      <w:r w:rsidRPr="003C1FFF">
        <w:rPr>
          <w:rFonts w:eastAsia="Calibri" w:cs="Times New Roman"/>
          <w:sz w:val="28"/>
        </w:rPr>
        <w:t>- Đánh giá cán bộ quản lý kinh tế</w:t>
      </w:r>
    </w:p>
    <w:p w:rsidR="003C1FFF" w:rsidRDefault="003C1FFF" w:rsidP="003C1FFF">
      <w:pPr>
        <w:spacing w:line="360" w:lineRule="auto"/>
        <w:ind w:firstLine="720"/>
        <w:jc w:val="both"/>
        <w:rPr>
          <w:rFonts w:eastAsia="Calibri" w:cs="Times New Roman"/>
          <w:sz w:val="28"/>
        </w:rPr>
      </w:pPr>
      <w:r w:rsidRPr="003C1FFF">
        <w:rPr>
          <w:rFonts w:eastAsia="Calibri" w:cs="Times New Roman"/>
          <w:sz w:val="28"/>
        </w:rPr>
        <w:t>- Sử dụng cán bộ quản lý kinh tế</w:t>
      </w:r>
    </w:p>
    <w:p w:rsidR="008D7FA1" w:rsidRDefault="008D7FA1" w:rsidP="0027458B">
      <w:pPr>
        <w:spacing w:after="200" w:line="360" w:lineRule="auto"/>
        <w:jc w:val="center"/>
        <w:rPr>
          <w:rFonts w:eastAsia="Calibri" w:cs="Times New Roman"/>
          <w:b/>
          <w:sz w:val="28"/>
        </w:rPr>
      </w:pPr>
    </w:p>
    <w:p w:rsidR="003C1FFF" w:rsidRPr="003C1FFF" w:rsidRDefault="003C1FFF" w:rsidP="0027458B">
      <w:pPr>
        <w:spacing w:after="200" w:line="360" w:lineRule="auto"/>
        <w:jc w:val="center"/>
        <w:rPr>
          <w:rFonts w:eastAsia="Calibri" w:cs="Times New Roman"/>
          <w:b/>
          <w:sz w:val="28"/>
          <w:lang w:val="vi-VN"/>
        </w:rPr>
      </w:pPr>
      <w:r w:rsidRPr="003C1FFF">
        <w:rPr>
          <w:rFonts w:eastAsia="Calibri" w:cs="Times New Roman"/>
          <w:b/>
          <w:sz w:val="28"/>
          <w:lang w:val="vi-VN"/>
        </w:rPr>
        <w:t>TÀI LIỆU THAM KHẢO</w:t>
      </w:r>
    </w:p>
    <w:p w:rsidR="003C1FFF" w:rsidRPr="003C1FFF" w:rsidRDefault="003C1FFF" w:rsidP="0027458B">
      <w:pPr>
        <w:spacing w:line="360" w:lineRule="auto"/>
        <w:jc w:val="both"/>
        <w:rPr>
          <w:rFonts w:eastAsia="Calibri" w:cs="Times New Roman"/>
          <w:sz w:val="28"/>
        </w:rPr>
      </w:pPr>
      <w:r w:rsidRPr="003C1FFF">
        <w:rPr>
          <w:rFonts w:eastAsia="Calibri" w:cs="Times New Roman"/>
          <w:sz w:val="28"/>
          <w:lang w:val="vi-VN"/>
        </w:rPr>
        <w:t xml:space="preserve">1. GS.TS. Đỗ Hoàng Toàn, </w:t>
      </w:r>
      <w:r>
        <w:rPr>
          <w:rFonts w:eastAsia="Calibri" w:cs="Times New Roman"/>
          <w:sz w:val="28"/>
          <w:lang w:val="vi-VN"/>
        </w:rPr>
        <w:t>PGS.TS. Mai Văn Bưu</w:t>
      </w:r>
      <w:r>
        <w:rPr>
          <w:rFonts w:eastAsia="Calibri" w:cs="Times New Roman"/>
          <w:sz w:val="28"/>
        </w:rPr>
        <w:t xml:space="preserve"> (2008)</w:t>
      </w:r>
      <w:r w:rsidRPr="003C1FFF">
        <w:rPr>
          <w:rFonts w:eastAsia="Calibri" w:cs="Times New Roman"/>
          <w:sz w:val="28"/>
          <w:lang w:val="vi-VN"/>
        </w:rPr>
        <w:t xml:space="preserve"> </w:t>
      </w:r>
      <w:r w:rsidRPr="003C1FFF">
        <w:rPr>
          <w:rFonts w:eastAsia="Calibri" w:cs="Times New Roman"/>
          <w:i/>
          <w:sz w:val="28"/>
          <w:lang w:val="vi-VN"/>
        </w:rPr>
        <w:t xml:space="preserve">Giáo trình Quản lý nhà nước về kinh tế, </w:t>
      </w:r>
      <w:r w:rsidRPr="003C1FFF">
        <w:rPr>
          <w:rFonts w:eastAsia="Calibri" w:cs="Times New Roman"/>
          <w:sz w:val="28"/>
          <w:lang w:val="vi-VN"/>
        </w:rPr>
        <w:t>Nhà xuất bản Đại học kinh tế quốc dân</w:t>
      </w:r>
      <w:r>
        <w:rPr>
          <w:rFonts w:eastAsia="Calibri" w:cs="Times New Roman"/>
          <w:sz w:val="28"/>
        </w:rPr>
        <w:t>.</w:t>
      </w:r>
    </w:p>
    <w:p w:rsidR="003C1FFF" w:rsidRPr="008D7FA1" w:rsidRDefault="003C1FFF" w:rsidP="0027458B">
      <w:pPr>
        <w:spacing w:line="360" w:lineRule="auto"/>
        <w:jc w:val="both"/>
        <w:rPr>
          <w:rFonts w:eastAsia="Calibri" w:cs="Times New Roman"/>
          <w:sz w:val="28"/>
          <w:lang w:val="vi-VN"/>
        </w:rPr>
      </w:pPr>
      <w:r w:rsidRPr="003C1FFF">
        <w:rPr>
          <w:rFonts w:eastAsia="Calibri" w:cs="Times New Roman"/>
          <w:sz w:val="28"/>
          <w:lang w:val="vi-VN"/>
        </w:rPr>
        <w:t>2. GS.TS. Phan Huy Đườ</w:t>
      </w:r>
      <w:r>
        <w:rPr>
          <w:rFonts w:eastAsia="Calibri" w:cs="Times New Roman"/>
          <w:sz w:val="28"/>
          <w:lang w:val="vi-VN"/>
        </w:rPr>
        <w:t>ng, TS. Phan Anh Kích</w:t>
      </w:r>
      <w:r w:rsidRPr="008D7FA1">
        <w:rPr>
          <w:rFonts w:eastAsia="Calibri" w:cs="Times New Roman"/>
          <w:sz w:val="28"/>
          <w:lang w:val="vi-VN"/>
        </w:rPr>
        <w:t xml:space="preserve"> (2015), </w:t>
      </w:r>
      <w:r w:rsidRPr="003C1FFF">
        <w:rPr>
          <w:rFonts w:eastAsia="Calibri" w:cs="Times New Roman"/>
          <w:i/>
          <w:sz w:val="28"/>
          <w:lang w:val="vi-VN"/>
        </w:rPr>
        <w:t>Giáo trình Quản lý nhà nước về kinh tế</w:t>
      </w:r>
      <w:r w:rsidRPr="003C1FFF">
        <w:rPr>
          <w:rFonts w:eastAsia="Calibri" w:cs="Times New Roman"/>
          <w:sz w:val="28"/>
          <w:lang w:val="vi-VN"/>
        </w:rPr>
        <w:t>, Nhà xuất bản Đại học Quốc gia Hà Nội</w:t>
      </w:r>
      <w:r w:rsidRPr="008D7FA1">
        <w:rPr>
          <w:rFonts w:eastAsia="Calibri" w:cs="Times New Roman"/>
          <w:sz w:val="28"/>
          <w:lang w:val="vi-VN"/>
        </w:rPr>
        <w:t>.</w:t>
      </w:r>
    </w:p>
    <w:p w:rsidR="0027458B" w:rsidRPr="008D7FA1" w:rsidRDefault="0027458B" w:rsidP="0027458B">
      <w:pPr>
        <w:spacing w:line="360" w:lineRule="auto"/>
        <w:jc w:val="both"/>
        <w:rPr>
          <w:rFonts w:eastAsia="Calibri" w:cs="Times New Roman"/>
          <w:sz w:val="28"/>
          <w:lang w:val="vi-VN"/>
        </w:rPr>
      </w:pPr>
      <w:r w:rsidRPr="008D7FA1">
        <w:rPr>
          <w:rFonts w:eastAsia="Calibri" w:cs="Times New Roman"/>
          <w:sz w:val="28"/>
          <w:lang w:val="vi-VN"/>
        </w:rPr>
        <w:t xml:space="preserve">3. Viện chiến lược phát triển (2000), </w:t>
      </w:r>
      <w:r w:rsidRPr="008D7FA1">
        <w:rPr>
          <w:rFonts w:eastAsia="Calibri" w:cs="Times New Roman"/>
          <w:i/>
          <w:sz w:val="28"/>
          <w:lang w:val="vi-VN"/>
        </w:rPr>
        <w:t xml:space="preserve">Cơ sở khoa học của một số vấn đề trong chiến lược phát triển kinh tế – xã hội Việt Nam đến năm 2010 và tầm nhìn đến năm 2020, </w:t>
      </w:r>
      <w:r w:rsidRPr="008D7FA1">
        <w:rPr>
          <w:rFonts w:eastAsia="Calibri" w:cs="Times New Roman"/>
          <w:sz w:val="28"/>
          <w:lang w:val="vi-VN"/>
        </w:rPr>
        <w:t>Nhà xuất bản Chính trị Quốc gia.</w:t>
      </w:r>
    </w:p>
    <w:p w:rsidR="0027458B" w:rsidRPr="008D7FA1" w:rsidRDefault="0027458B" w:rsidP="0027458B">
      <w:pPr>
        <w:spacing w:line="360" w:lineRule="auto"/>
        <w:jc w:val="both"/>
        <w:rPr>
          <w:rFonts w:eastAsia="Calibri" w:cs="Times New Roman"/>
          <w:sz w:val="28"/>
          <w:lang w:val="vi-VN"/>
        </w:rPr>
      </w:pPr>
      <w:r w:rsidRPr="008D7FA1">
        <w:rPr>
          <w:rFonts w:eastAsia="Calibri" w:cs="Times New Roman"/>
          <w:sz w:val="28"/>
          <w:lang w:val="vi-VN"/>
        </w:rPr>
        <w:t>4. Viện nghiên cứu quản lý kinh tế Trung ương – Ban nghiên cứu khoa học quản lý kinh tế, (2004),</w:t>
      </w:r>
      <w:r w:rsidRPr="008D7FA1">
        <w:rPr>
          <w:rFonts w:eastAsia="Calibri" w:cs="Times New Roman"/>
          <w:i/>
          <w:sz w:val="28"/>
          <w:lang w:val="vi-VN"/>
        </w:rPr>
        <w:t xml:space="preserve"> Một số vấn đề cơ bản về đổi mới quản lý kinh tế vĩ mô trong nền kinh tế thị trường định hướng xã hội chủ nghĩa Việt Nam, </w:t>
      </w:r>
      <w:r w:rsidRPr="008D7FA1">
        <w:rPr>
          <w:rFonts w:eastAsia="Calibri" w:cs="Times New Roman"/>
          <w:sz w:val="28"/>
          <w:lang w:val="vi-VN"/>
        </w:rPr>
        <w:t>Nhà xuất bản Chính trị Quốc gia.</w:t>
      </w:r>
    </w:p>
    <w:p w:rsidR="004E4AFC" w:rsidRPr="008D7FA1" w:rsidRDefault="004E4AFC" w:rsidP="0027458B">
      <w:pPr>
        <w:spacing w:line="360" w:lineRule="auto"/>
        <w:jc w:val="both"/>
        <w:rPr>
          <w:rFonts w:eastAsia="Calibri" w:cs="Times New Roman"/>
          <w:sz w:val="28"/>
          <w:lang w:val="vi-VN"/>
        </w:rPr>
      </w:pPr>
      <w:r w:rsidRPr="008D7FA1">
        <w:rPr>
          <w:rFonts w:eastAsia="Calibri" w:cs="Times New Roman"/>
          <w:sz w:val="28"/>
          <w:lang w:val="vi-VN"/>
        </w:rPr>
        <w:t xml:space="preserve">5. Đảng Cộng sản Việt Nam, Văn kiện Đại hội đại biểu toàn quốc lầ thứ VI, VII, VIII, IX, X, XI, XII, </w:t>
      </w:r>
      <w:r w:rsidR="0027458B" w:rsidRPr="008D7FA1">
        <w:rPr>
          <w:rFonts w:eastAsia="Calibri" w:cs="Times New Roman"/>
          <w:sz w:val="28"/>
          <w:lang w:val="vi-VN"/>
        </w:rPr>
        <w:t>Nhà xuất bản</w:t>
      </w:r>
      <w:r w:rsidRPr="008D7FA1">
        <w:rPr>
          <w:rFonts w:eastAsia="Calibri" w:cs="Times New Roman"/>
          <w:sz w:val="28"/>
          <w:lang w:val="vi-VN"/>
        </w:rPr>
        <w:t xml:space="preserve"> Chính trị Quốc gia.</w:t>
      </w:r>
    </w:p>
    <w:p w:rsidR="00AD407B" w:rsidRPr="008D7FA1" w:rsidRDefault="00E74F5E" w:rsidP="00C91DE0">
      <w:pPr>
        <w:spacing w:line="360" w:lineRule="auto"/>
        <w:jc w:val="center"/>
        <w:rPr>
          <w:rFonts w:eastAsia="Calibri" w:cs="Times New Roman"/>
          <w:sz w:val="28"/>
          <w:lang w:val="vi-VN"/>
        </w:rPr>
      </w:pPr>
      <w:r>
        <w:rPr>
          <w:rFonts w:eastAsia="Calibri" w:cs="Times New Roman"/>
          <w:noProof/>
          <w:sz w:val="28"/>
        </w:rPr>
        <w:pict>
          <v:line id="Straight Connector 2" o:spid="_x0000_s1027" style="position:absolute;left:0;text-align:left;flip:y;z-index:251660288;visibility:visible" from="127.95pt,1.75pt" to="310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" strokecolor="#4579b8 [3044]"/>
        </w:pict>
      </w:r>
    </w:p>
    <w:p w:rsidR="003C1FFF" w:rsidRPr="008D7FA1" w:rsidRDefault="003C1FFF" w:rsidP="0027458B">
      <w:pPr>
        <w:spacing w:line="360" w:lineRule="auto"/>
        <w:jc w:val="both"/>
        <w:rPr>
          <w:rFonts w:eastAsia="Calibri" w:cs="Times New Roman"/>
          <w:sz w:val="28"/>
          <w:lang w:val="vi-VN"/>
        </w:rPr>
      </w:pPr>
      <w:bookmarkStart w:id="0" w:name="_GoBack"/>
      <w:bookmarkEnd w:id="0"/>
    </w:p>
    <w:sectPr w:rsidR="003C1FFF" w:rsidRPr="008D7FA1" w:rsidSect="008D7FA1">
      <w:footerReference w:type="default" r:id="rId6"/>
      <w:pgSz w:w="11907" w:h="16840" w:code="9"/>
      <w:pgMar w:top="1021" w:right="1134" w:bottom="45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8B" w:rsidRDefault="0011308B" w:rsidP="008D7FA1">
      <w:r>
        <w:separator/>
      </w:r>
    </w:p>
  </w:endnote>
  <w:endnote w:type="continuationSeparator" w:id="0">
    <w:p w:rsidR="0011308B" w:rsidRDefault="0011308B" w:rsidP="008D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19"/>
      <w:docPartObj>
        <w:docPartGallery w:val="Page Numbers (Bottom of Page)"/>
        <w:docPartUnique/>
      </w:docPartObj>
    </w:sdtPr>
    <w:sdtContent>
      <w:p w:rsidR="008D7FA1" w:rsidRDefault="008D7FA1">
        <w:pPr>
          <w:pStyle w:val="Footer"/>
          <w:jc w:val="center"/>
        </w:pPr>
        <w:fldSimple w:instr=" PAGE   \* MERGEFORMAT ">
          <w:r w:rsidR="00E852F3">
            <w:rPr>
              <w:noProof/>
            </w:rPr>
            <w:t>3</w:t>
          </w:r>
        </w:fldSimple>
      </w:p>
    </w:sdtContent>
  </w:sdt>
  <w:p w:rsidR="008D7FA1" w:rsidRDefault="008D7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8B" w:rsidRDefault="0011308B" w:rsidP="008D7FA1">
      <w:r>
        <w:separator/>
      </w:r>
    </w:p>
  </w:footnote>
  <w:footnote w:type="continuationSeparator" w:id="0">
    <w:p w:rsidR="0011308B" w:rsidRDefault="0011308B" w:rsidP="008D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DC"/>
    <w:rsid w:val="00053A5A"/>
    <w:rsid w:val="000F15D0"/>
    <w:rsid w:val="0011308B"/>
    <w:rsid w:val="001452DC"/>
    <w:rsid w:val="0027458B"/>
    <w:rsid w:val="003C1FFF"/>
    <w:rsid w:val="004E4AFC"/>
    <w:rsid w:val="00814310"/>
    <w:rsid w:val="00836E39"/>
    <w:rsid w:val="008D7FA1"/>
    <w:rsid w:val="00AD407B"/>
    <w:rsid w:val="00B076FF"/>
    <w:rsid w:val="00C91DE0"/>
    <w:rsid w:val="00E74F5E"/>
    <w:rsid w:val="00E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D0"/>
    <w:pPr>
      <w:ind w:left="720"/>
      <w:contextualSpacing/>
    </w:pPr>
  </w:style>
  <w:style w:type="table" w:styleId="TableGrid">
    <w:name w:val="Table Grid"/>
    <w:basedOn w:val="TableNormal"/>
    <w:uiPriority w:val="59"/>
    <w:rsid w:val="0027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D7F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7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F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A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D0"/>
    <w:pPr>
      <w:ind w:left="720"/>
      <w:contextualSpacing/>
    </w:pPr>
  </w:style>
  <w:style w:type="table" w:styleId="TableGrid">
    <w:name w:val="Table Grid"/>
    <w:basedOn w:val="TableNormal"/>
    <w:uiPriority w:val="59"/>
    <w:rsid w:val="0027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DHQN-028</cp:lastModifiedBy>
  <cp:revision>7</cp:revision>
  <cp:lastPrinted>2019-08-02T09:45:00Z</cp:lastPrinted>
  <dcterms:created xsi:type="dcterms:W3CDTF">2019-08-01T13:46:00Z</dcterms:created>
  <dcterms:modified xsi:type="dcterms:W3CDTF">2019-08-02T09:46:00Z</dcterms:modified>
</cp:coreProperties>
</file>